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center"/>
        <w:rPr>
          <w:rFonts w:ascii="Times New Roman" w:hAnsi="Times New Roman" w:cs="Times New Roman"/>
          <w:b/>
          <w:b/>
          <w:sz w:val="28"/>
        </w:rPr>
      </w:pPr>
      <w:r>
        <w:rPr>
          <w:rFonts w:cs="Times New Roman" w:ascii="Times New Roman" w:hAnsi="Times New Roman"/>
          <w:b/>
          <w:sz w:val="28"/>
        </w:rPr>
        <w:t>Vnitřní předpis o ochraně oznamovatelů</w:t>
      </w:r>
    </w:p>
    <w:p>
      <w:pPr>
        <w:pStyle w:val="Normal"/>
        <w:spacing w:lineRule="auto" w:line="276" w:before="240" w:after="16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24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Předmět úpravy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Tento vnitřní předpis upravuje:</w:t>
      </w:r>
    </w:p>
    <w:p>
      <w:pPr>
        <w:pStyle w:val="ListParagraph"/>
        <w:numPr>
          <w:ilvl w:val="1"/>
          <w:numId w:val="1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Postup pro přijímání oznámení dle zákona č. </w:t>
      </w:r>
      <w:bookmarkStart w:id="0" w:name="_GoBack"/>
      <w:r>
        <w:rPr>
          <w:rFonts w:cs="Times New Roman" w:ascii="Times New Roman" w:hAnsi="Times New Roman"/>
        </w:rPr>
        <w:t>171/2023 Sb.</w:t>
      </w:r>
      <w:bookmarkEnd w:id="0"/>
      <w:r>
        <w:rPr>
          <w:rFonts w:cs="Times New Roman" w:ascii="Times New Roman" w:hAnsi="Times New Roman"/>
        </w:rPr>
        <w:t>, zákon o ochraně oznamovatelů, (dále jen „zákon o ochraně oznamovatelů“) ve spojení se zákonem č. 253/2008 Sb., zákon o některých opatřeních proti legalizaci výnosů z trestné činnosti a financování terorismu, (dále jen „AML“), jakož i způsob vyřizování takového oznámení a způsob nakládání se získanými informacemi z takového oznámení (vnitřní oznamovací systém),</w:t>
      </w:r>
    </w:p>
    <w:p>
      <w:pPr>
        <w:pStyle w:val="ListParagraph"/>
        <w:numPr>
          <w:ilvl w:val="1"/>
          <w:numId w:val="1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Příslušnost, postavení, oprávnění a povinnosti příslušné osoby u </w:t>
      </w:r>
      <w:r>
        <w:rPr>
          <w:rFonts w:cs="Times New Roman" w:ascii="Times New Roman" w:hAnsi="Times New Roman"/>
        </w:rPr>
        <w:t>Brněnský zvonec – reality s.r.o.</w:t>
      </w:r>
      <w:r>
        <w:rPr>
          <w:rFonts w:cs="Times New Roman" w:ascii="Times New Roman" w:hAnsi="Times New Roman"/>
          <w:b/>
          <w:shd w:fill="auto" w:val="clear"/>
        </w:rPr>
        <w:t xml:space="preserve"> </w:t>
      </w:r>
      <w:r>
        <w:rPr>
          <w:rFonts w:cs="Times New Roman" w:ascii="Times New Roman" w:hAnsi="Times New Roman"/>
        </w:rPr>
        <w:t xml:space="preserve">k přijímání a vyřizování oznámení o možném protiprávním jednání podle zákona o ochraně oznamovatelů </w:t>
      </w:r>
      <w:r>
        <w:rPr>
          <w:rFonts w:cs="Times New Roman" w:ascii="Times New Roman" w:hAnsi="Times New Roman"/>
          <w:sz w:val="20"/>
        </w:rPr>
        <w:t xml:space="preserve">(dále jen“ </w:t>
      </w:r>
      <w:r>
        <w:rPr>
          <w:rFonts w:cs="Times New Roman" w:ascii="Times New Roman" w:hAnsi="Times New Roman"/>
          <w:b/>
          <w:sz w:val="20"/>
        </w:rPr>
        <w:t>povinná osoba“)</w:t>
      </w:r>
      <w:r>
        <w:rPr>
          <w:rFonts w:cs="Times New Roman" w:ascii="Times New Roman" w:hAnsi="Times New Roman"/>
        </w:rPr>
        <w:t>,</w:t>
      </w:r>
    </w:p>
    <w:p>
      <w:pPr>
        <w:pStyle w:val="ListParagraph"/>
        <w:numPr>
          <w:ilvl w:val="1"/>
          <w:numId w:val="1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Práva a povinnosti osoby, která oznámení o možném protiprávním jednání podle zákona o ochraně oznamovatelů učinila (dále jen „</w:t>
      </w:r>
      <w:r>
        <w:rPr>
          <w:rFonts w:cs="Times New Roman" w:ascii="Times New Roman" w:hAnsi="Times New Roman"/>
          <w:b/>
        </w:rPr>
        <w:t>oznamovatel“)</w:t>
      </w:r>
      <w:r>
        <w:rPr>
          <w:rFonts w:cs="Times New Roman" w:ascii="Times New Roman" w:hAnsi="Times New Roman"/>
        </w:rPr>
        <w:t>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II.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Příslušnost a působnost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Příslušná osoba přijímá a vyřizuje oznámení podle tohoto předpisu od osoby, která pro </w:t>
      </w:r>
      <w:r>
        <w:rPr>
          <w:rFonts w:cs="Times New Roman" w:ascii="Times New Roman" w:hAnsi="Times New Roman"/>
          <w:shd w:fill="auto" w:val="clear"/>
        </w:rPr>
        <w:t>Brněnský zvonec – reality s.r.o.</w:t>
      </w:r>
      <w:r>
        <w:rPr>
          <w:rFonts w:cs="Times New Roman" w:ascii="Times New Roman" w:hAnsi="Times New Roman"/>
          <w:shd w:fill="auto" w:val="clear"/>
        </w:rPr>
        <w:t xml:space="preserve"> vykonává nebo vykonávala práci nebo obdobnou činnost, nebo od osoby,</w:t>
      </w:r>
      <w:r>
        <w:rPr>
          <w:rFonts w:cs="Times New Roman" w:ascii="Times New Roman" w:hAnsi="Times New Roman"/>
        </w:rPr>
        <w:t xml:space="preserve"> která byla nebo je s </w:t>
      </w:r>
      <w:r>
        <w:rPr>
          <w:rFonts w:cs="Times New Roman" w:ascii="Times New Roman" w:hAnsi="Times New Roman"/>
          <w:shd w:fill="auto" w:val="clear"/>
        </w:rPr>
        <w:t xml:space="preserve">Brněnský zvonec – reality s.r.o. </w:t>
      </w:r>
      <w:r>
        <w:rPr>
          <w:rFonts w:cs="Times New Roman" w:ascii="Times New Roman" w:hAnsi="Times New Roman"/>
        </w:rPr>
        <w:t>v kontaktu v souvislosti s výkonem práce nebo jiné obdobné činnosti.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prací nebo jinou obdobnou činností se rozumí: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zaměstnání,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služba,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samostatná výdělečná činnost,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výkon práv spojených s účastí v právnické osobě,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výkon funkce člena orgánu právnické osoby, který je do funkce volen, jmenován či jinak povolán,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správa svěřeneckého fondu,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dobrovolnická činnost,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odborná praxe, stáž nebo</w:t>
      </w:r>
    </w:p>
    <w:p>
      <w:pPr>
        <w:pStyle w:val="ListParagraph"/>
        <w:numPr>
          <w:ilvl w:val="2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výkon práv a povinnosti vyplývajících ze smlouvy, jejímž předmětem je poskytování dodávek, služeb, stavebních prací nebo jiného obdobného plnění. 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shd w:fill="auto" w:val="clear"/>
        </w:rPr>
        <w:t>Brněnský zvonec – reality s.r.o.</w:t>
      </w:r>
      <w:r>
        <w:rPr>
          <w:rFonts w:cs="Times New Roman" w:ascii="Times New Roman" w:hAnsi="Times New Roman"/>
        </w:rPr>
        <w:t xml:space="preserve"> jakožto povinný subjekt dle zákona o ochraně oznamovatele tímto vylučuje přijímání oznámení od osoby, která pro </w:t>
      </w:r>
      <w:r>
        <w:rPr>
          <w:rFonts w:cs="Times New Roman" w:ascii="Times New Roman" w:hAnsi="Times New Roman"/>
          <w:shd w:fill="auto" w:val="clear"/>
        </w:rPr>
        <w:t>Brněnský zvonec – reality s.r.o.</w:t>
      </w:r>
      <w:r>
        <w:rPr>
          <w:rFonts w:cs="Times New Roman" w:ascii="Times New Roman" w:hAnsi="Times New Roman"/>
          <w:shd w:fill="auto" w:val="clear"/>
        </w:rPr>
        <w:t xml:space="preserve"> nevykonává práci nebo jinou obdobnou činnost ve smyslu</w:t>
      </w:r>
      <w:r>
        <w:rPr>
          <w:rFonts w:cs="Times New Roman" w:ascii="Times New Roman" w:hAnsi="Times New Roman"/>
        </w:rPr>
        <w:t xml:space="preserve"> ustanovení § 9 odst. 2) písm. b) odst. 3 zákona o ochraně oznamovatelů.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Oznámení dle Čl. II. odst. 1. obsahuje informace o možném protiprávním jednání, k němuž došlo nebo má dojít u </w:t>
      </w:r>
      <w:r>
        <w:rPr>
          <w:rFonts w:cs="Times New Roman" w:ascii="Times New Roman" w:hAnsi="Times New Roman"/>
        </w:rPr>
        <w:t>Brněnský zvonec – reality s.r.o.</w:t>
      </w:r>
      <w:r>
        <w:rPr>
          <w:rFonts w:cs="Times New Roman" w:ascii="Times New Roman" w:hAnsi="Times New Roman"/>
        </w:rPr>
        <w:t>, kdy toto protiprávní jednání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567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má znaky trestného činu</w:t>
      </w:r>
      <w:r>
        <w:rPr>
          <w:rFonts w:cs="Times New Roman" w:ascii="Times New Roman" w:hAnsi="Times New Roman"/>
          <w:b/>
        </w:rPr>
        <w:t>,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567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má znaky přestupku, za který zákon stanoví sazbu pokuty, jejíž horní hranice je alespoň 100.000,- Kč,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567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porušuje zákon o ochraně oznamovatelů, nebo</w:t>
      </w:r>
    </w:p>
    <w:p>
      <w:pPr>
        <w:pStyle w:val="ListParagraph"/>
        <w:numPr>
          <w:ilvl w:val="1"/>
          <w:numId w:val="2"/>
        </w:numPr>
        <w:spacing w:lineRule="auto" w:line="276" w:before="0" w:after="0"/>
        <w:ind w:left="567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Porušuje jiný právní předpis nebo předpis Evropské unie v oblasti finančních služeb, povinného auditu a jiných ověřovacích služeb, finančních produktů a finančních trhů, daně z příjmu právnických osob, předcházení legalizace výnosů z trestné činnosti a financování terorismu, ochrany spotřebitele, souladu s požadavky na výrobky včetně jejich bezpečnosti, bezpečnosti dopravy, přepravy a provozu na pozemních komunikacích, ochrany životního prostředí, bezpečnosti potravin a krmiv a ochrany zvířat a jejich zdraví, radiační ochrany a jaderné bezpečnosti, hospodářské soutěže, veřejných dražeb a zadávání veřejných zakázek, ochrany vnitřního pořádku a bezpečnosti, života a zdraví, ochrany osobních údajů, soukromí a bezpečnosti sítí elektronických komunikací a informačních systémů, ochrany finančních zájmů Evropské unie, nebo fungování vnitřního trhu včetně ochrany hospodářské soutěže a státní podpory podle práva Evropské unie.</w:t>
      </w:r>
    </w:p>
    <w:p>
      <w:pPr>
        <w:pStyle w:val="ListParagraph"/>
        <w:numPr>
          <w:ilvl w:val="0"/>
          <w:numId w:val="2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Oznámení dle Čl. II. odst. 1. obsahuje údaje o jménu, příjmení a datu narození, nebo jiné údaje, z nichž je možné dovodit totožnost oznamovatele; má se za to, že údaje o totožnosti oznamovatele jsou pravdivé. Oznámení nemusí obsahovat údaje podle věty první, pokud bylo podáno osobou, jejíž totožnost je příslušné osobě známa.</w:t>
      </w:r>
    </w:p>
    <w:p>
      <w:pPr>
        <w:pStyle w:val="ListParagraph"/>
        <w:spacing w:lineRule="auto" w:line="276" w:before="0" w:after="0"/>
        <w:ind w:left="426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76" w:before="0" w:after="0"/>
        <w:ind w:left="426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III.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Příslušná osoba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shd w:fill="auto" w:val="clear"/>
        </w:rPr>
        <w:t>Brněnský zvonec – reality s.r.o.</w:t>
      </w:r>
      <w:r>
        <w:rPr>
          <w:rFonts w:cs="Times New Roman" w:ascii="Times New Roman" w:hAnsi="Times New Roman"/>
        </w:rPr>
        <w:t xml:space="preserve"> tímto sděluje, že příslušnou osobou ve smyslu tohoto vnitřního předpisu, jakož i ve smyslu zákona o ochraně oznamovatelů, je </w:t>
      </w:r>
      <w:r>
        <w:rPr>
          <w:rFonts w:cs="Times New Roman" w:ascii="Times New Roman" w:hAnsi="Times New Roman"/>
        </w:rPr>
        <w:t>Boris Roubec.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Příslušné osobě nelze udělovat pokyny, ani její činnost jinak ovlivňovat způsobem, který by mařil nebo ohrožoval její řádný výkon. 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Podá-li oznámení osoba, u které lze vzhledem k jejímu poměru vůči příslušné osobě důvodně pochybovat o nestrannosti příslušné osoby, příslušný osoba o této skutečnosti oznamovatele poučí a poučí ho o právu podat oznámení prostřednictvím vnějšího oznamovacího systému v působnosti Ministerstva spravedlnosti.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Příslušná osoba je při posuzování důvodnosti oznámení ve smyslu článku V. tohoto předpisu oprávněna:</w:t>
      </w:r>
    </w:p>
    <w:p>
      <w:pPr>
        <w:pStyle w:val="ListParagraph"/>
        <w:numPr>
          <w:ilvl w:val="1"/>
          <w:numId w:val="6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požadovat sdělení údajů a předložení nebo zpřístupnění listin, audiovizuálních a digitálních záznamů a jiných věcí po povinném subjektu, které mohou souviset s oznámením,</w:t>
      </w:r>
    </w:p>
    <w:p>
      <w:pPr>
        <w:pStyle w:val="ListParagraph"/>
        <w:numPr>
          <w:ilvl w:val="1"/>
          <w:numId w:val="6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pořizovat si z předložených nebo zpřístupněných listin, audiovizuálních a digitálních záznamů a jiných věcí dle odst. 4. písm. a. elektronické obrazy, výpisy, opisy a/nebo kopie,</w:t>
      </w:r>
    </w:p>
    <w:p>
      <w:pPr>
        <w:pStyle w:val="ListParagraph"/>
        <w:numPr>
          <w:ilvl w:val="1"/>
          <w:numId w:val="6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vstupovat do všech prostor v </w:t>
      </w:r>
      <w:r>
        <w:rPr>
          <w:rFonts w:cs="Times New Roman" w:ascii="Times New Roman" w:hAnsi="Times New Roman"/>
          <w:shd w:fill="auto" w:val="clear"/>
        </w:rPr>
        <w:t>Brněnský zvonec – reality s.r.o.</w:t>
      </w:r>
      <w:r>
        <w:rPr>
          <w:rFonts w:cs="Times New Roman" w:ascii="Times New Roman" w:hAnsi="Times New Roman"/>
        </w:rPr>
        <w:t>, které mohou souviset s oznámením,</w:t>
      </w:r>
    </w:p>
    <w:p>
      <w:pPr>
        <w:pStyle w:val="ListParagraph"/>
        <w:numPr>
          <w:ilvl w:val="1"/>
          <w:numId w:val="6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požadovat od zaměstnanců </w:t>
      </w:r>
      <w:r>
        <w:rPr>
          <w:rFonts w:cs="Times New Roman" w:ascii="Times New Roman" w:hAnsi="Times New Roman"/>
          <w:shd w:fill="auto" w:val="clear"/>
        </w:rPr>
        <w:t>Brněnský zvonec – reality s.r.o.</w:t>
      </w:r>
      <w:r>
        <w:rPr>
          <w:rFonts w:cs="Times New Roman" w:ascii="Times New Roman" w:hAnsi="Times New Roman"/>
        </w:rPr>
        <w:t xml:space="preserve"> v přiměřené lhůtě zpracování písemného odborného stanoviska ke skutkovým a právním otázkám souvisejícím s oznámením,</w:t>
      </w:r>
    </w:p>
    <w:p>
      <w:pPr>
        <w:pStyle w:val="ListParagraph"/>
        <w:numPr>
          <w:ilvl w:val="1"/>
          <w:numId w:val="6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požadovat od zaměstnanců či osob pro </w:t>
      </w:r>
      <w:r>
        <w:rPr>
          <w:rFonts w:cs="Times New Roman" w:ascii="Times New Roman" w:hAnsi="Times New Roman"/>
          <w:shd w:fill="auto" w:val="clear"/>
        </w:rPr>
        <w:t>Brněnský zvonec – reality s.r.o.</w:t>
      </w:r>
      <w:r>
        <w:rPr>
          <w:rFonts w:cs="Times New Roman" w:ascii="Times New Roman" w:hAnsi="Times New Roman"/>
        </w:rPr>
        <w:t xml:space="preserve">  vykonávající práci ve smyslu tohoto předpisu ústní vysvětlením, jehož podání mohou odmítnout; o možnosti odmítnou podání vysvětlení musí příslušná osoba poučit.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IV.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Přijímání oznámení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Příslušná osoba přijímá oznámení písemně nebo ústně. Na žádost oznamovatele přijme příslušná osoba oznámení osobně v přiměřené lhůtě, nejdéle však do 14 dnů ode dne, kdy o to oznamovatel požádal. Nelze-li lhůtu dodržet z důvodů na straně oznamovatele, poznamená příslušná osoba tuto skutečnost do spisu.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Písemným oznámením podle Čl. IV. odst. 1. se rozumí: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Emailová zpráva na adresu </w:t>
      </w:r>
      <w:r>
        <w:rPr>
          <w:rFonts w:cs="Times New Roman" w:ascii="Times New Roman" w:hAnsi="Times New Roman"/>
        </w:rPr>
        <w:t>reality@brnenskyzvonec.cz</w:t>
      </w:r>
      <w:r>
        <w:rPr>
          <w:rFonts w:cs="Times New Roman" w:ascii="Times New Roman" w:hAnsi="Times New Roman"/>
        </w:rPr>
        <w:t>,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Písemně na adresu </w:t>
      </w:r>
      <w:r>
        <w:rPr>
          <w:rFonts w:cs="Times New Roman" w:ascii="Times New Roman" w:hAnsi="Times New Roman"/>
          <w:shd w:fill="auto" w:val="clear"/>
        </w:rPr>
        <w:t>Bayerova 806/40, 602 00 Brno</w:t>
      </w:r>
      <w:r>
        <w:rPr>
          <w:rFonts w:cs="Times New Roman" w:ascii="Times New Roman" w:hAnsi="Times New Roman"/>
          <w:shd w:fill="auto" w:val="clear"/>
        </w:rPr>
        <w:t xml:space="preserve"> s označenou obálkou „pouze k rukám příslušné osoby“</w:t>
      </w:r>
    </w:p>
    <w:p>
      <w:pPr>
        <w:pStyle w:val="ListParagraph"/>
        <w:numPr>
          <w:ilvl w:val="0"/>
          <w:numId w:val="3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Ústním oznámení podle Čl. IV. odst. 1. se rozumí: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Telefonické oznámení na číslo </w:t>
      </w:r>
      <w:r>
        <w:rPr>
          <w:rFonts w:cs="Times New Roman" w:ascii="Times New Roman" w:hAnsi="Times New Roman"/>
          <w:shd w:fill="auto" w:val="clear"/>
        </w:rPr>
        <w:t>+420 777 555 920</w:t>
      </w:r>
      <w:r>
        <w:rPr>
          <w:rFonts w:cs="Times New Roman" w:ascii="Times New Roman" w:hAnsi="Times New Roman"/>
          <w:shd w:fill="auto" w:val="clear"/>
        </w:rPr>
        <w:t>,</w:t>
      </w:r>
    </w:p>
    <w:p>
      <w:pPr>
        <w:pStyle w:val="ListParagraph"/>
        <w:numPr>
          <w:ilvl w:val="1"/>
          <w:numId w:val="3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Osobně po domluvě s příslušnou osobou dle Čl. IV. odst. 1. věty druhé.</w:t>
      </w:r>
    </w:p>
    <w:p>
      <w:pPr>
        <w:pStyle w:val="ListParagraph"/>
        <w:spacing w:lineRule="auto" w:line="276" w:before="0" w:after="0"/>
        <w:ind w:left="426" w:hanging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Vyřizování oznámení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Příslušná osoba bezodkladně písemně vyrozumí oznamovatele o přijetí oznámení, nejdéle však do 7 dnů ode dne přijetí oznámení. Věta první se nepoužije, jestliže je zřejmé, že by takovým postupem byla prozrazena totožnost oznamovatele nebo pokud o to oznamovatel požádá.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Příslušná osoba posoudí důvodnost informací uvedených v oznámení a písemně vyrozumí oznamovatele o výsledcích posouzení do 30 dnů ode dne přijetí oznámení. V případech skutkově nebo právně složitých lze tuto lhůtu prodloužit až o 30 dnů, nejvýše však dvakrát. O prodloužení lhůty a důvodech pro její prodloužení je příslušná osoba povinna oznamovatele písemně vyrozumět před jejím uplynutím. Věta druhá odstavce 1. se použije obdobně.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Pokud oznámení neobsahuje všechny potřebné informace či údaje, vyzve příslušná osoba oznamovatele k jejich doplnění.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Není-li při posuzování důvodnosti zjištěno protiprávní jednání podle čl. II. odst. 2., poučí příslušná osoba oznamovatele ve lhůtě podle odstavce 2. o právu podat oznámení Ministerstvu spravedlnosti a/ nebo (v případech dle AML zákona) příslušnému orgánu veřejné moci.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Bylo-li při posuzování důvodnosti zjištěno možné protiprávní jednání, příslušná osoba, je-li to možné s ohledem na zachování důvěrnosti totožnosti oznamovatele a osoby podle čl. VIII. odst. 2., bez zbytečného odkladu navrhne </w:t>
      </w:r>
      <w:r>
        <w:rPr>
          <w:rFonts w:cs="Times New Roman" w:ascii="Times New Roman" w:hAnsi="Times New Roman"/>
          <w:shd w:fill="auto" w:val="clear"/>
        </w:rPr>
        <w:t>Brněnský zvonec – reality s.r.o.</w:t>
      </w:r>
      <w:r>
        <w:rPr>
          <w:rFonts w:cs="Times New Roman" w:ascii="Times New Roman" w:hAnsi="Times New Roman"/>
        </w:rPr>
        <w:t xml:space="preserve"> opatření k předejití nebo nápravě protiprávního stavu.</w:t>
      </w:r>
    </w:p>
    <w:p>
      <w:pPr>
        <w:pStyle w:val="ListParagraph"/>
        <w:numPr>
          <w:ilvl w:val="0"/>
          <w:numId w:val="4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Příslušná osoba písemně vyrozumí oznamovatele o výsledku každé fáze vyřizování oznámení bezprostředně po tom, co byla ukončena, nejdéle však do 90 dnů ode dne přijetí oznámení. Kromě výsledku posouzení důvodnosti informací uvedených v oznámení informuje zejména o: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ochraně, který oznamovateli na základě podaného oznámení náleží,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zjištěném protiprávním jednání,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navržených preventivních nebo reparativních opatření a důvodech jejich navržení,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přijatých preventivních nebo reparativních opatření a jejich důvodnosti,</w:t>
      </w:r>
    </w:p>
    <w:p>
      <w:pPr>
        <w:pStyle w:val="ListParagraph"/>
        <w:numPr>
          <w:ilvl w:val="1"/>
          <w:numId w:val="4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jiném způsobu vyřízení oznámení.</w:t>
      </w:r>
    </w:p>
    <w:p>
      <w:pPr>
        <w:pStyle w:val="ListParagraph"/>
        <w:spacing w:lineRule="auto" w:line="276" w:before="0" w:after="0"/>
        <w:ind w:left="709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VI.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Evidence oznámení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Příslušná osoba vede v elektronické podobě evidenci údajů o přijatých oznámením, a to v rozsahu:</w:t>
      </w:r>
    </w:p>
    <w:p>
      <w:pPr>
        <w:pStyle w:val="ListParagraph"/>
        <w:numPr>
          <w:ilvl w:val="1"/>
          <w:numId w:val="5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datum přijetí oznámení,</w:t>
      </w:r>
    </w:p>
    <w:p>
      <w:pPr>
        <w:pStyle w:val="ListParagraph"/>
        <w:numPr>
          <w:ilvl w:val="1"/>
          <w:numId w:val="5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jméno, příjmení, datum narození a kontaktní adresa oznamovatele, nebo jiné údaje, z nichž je možné dovodit totožnost oznamovatele,</w:t>
      </w:r>
    </w:p>
    <w:p>
      <w:pPr>
        <w:pStyle w:val="ListParagraph"/>
        <w:numPr>
          <w:ilvl w:val="1"/>
          <w:numId w:val="5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shrnutí obsahu oznámení,</w:t>
      </w:r>
    </w:p>
    <w:p>
      <w:pPr>
        <w:pStyle w:val="ListParagraph"/>
        <w:numPr>
          <w:ilvl w:val="1"/>
          <w:numId w:val="5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datum ukončení posouzení důvodnosti oznámení příslušnou osobou a jeho výsledek,</w:t>
      </w:r>
    </w:p>
    <w:p>
      <w:pPr>
        <w:pStyle w:val="ListParagraph"/>
        <w:numPr>
          <w:ilvl w:val="1"/>
          <w:numId w:val="5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navržená a/ nebo přijatá preventivní a/nebo reparativní opatření.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Příslušná osoba uchovává oznámení a dokumenty související s oznámením po dobu 5 let ode dne přijetí oznámení.</w:t>
      </w:r>
    </w:p>
    <w:p>
      <w:pPr>
        <w:pStyle w:val="ListParagraph"/>
        <w:numPr>
          <w:ilvl w:val="0"/>
          <w:numId w:val="5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Do evidence podle odstavce 1. a k oznámením a dokumentům uchovávaným podle odstavce 2. má přístup pouze příslušná osoba.</w:t>
      </w:r>
    </w:p>
    <w:p>
      <w:pPr>
        <w:pStyle w:val="ListParagraph"/>
        <w:spacing w:lineRule="auto" w:line="276" w:before="0" w:after="0"/>
        <w:ind w:left="426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spacing w:lineRule="auto" w:line="276" w:before="0" w:after="0"/>
        <w:ind w:left="426" w:hanging="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VII.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Zpracování osobních údajů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Na zpracování osobních údajů v souvislosti s oznámením se nevztahuje povinnost posouzení vlivu zpracování osobních údajů na ochranu osobních údajů.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Osobní údaje se ve vztahu k oznámení zpracovávají na základě čl. 6 odst. 1 písm. c) Nařízení Evropského parlamentu a Rady 2016/679 ze dne 27.4.2016 o ochraně fyzických osob v souvislosti se zpracováním osobních údajů a o volném pohybu těchto údajů (dále jen „GDPR“).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Zvláštní kategorie osobních údajů ve smyslu ustanovení čl. 9 odst. 1 GDPR je možné ve vztahu k oznámení zpracovávat na základě čl. 9 odst. 2 písm. e), f) nebo g) GDPR.</w:t>
      </w:r>
    </w:p>
    <w:p>
      <w:pPr>
        <w:pStyle w:val="ListParagraph"/>
        <w:numPr>
          <w:ilvl w:val="0"/>
          <w:numId w:val="10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Informační povinnost ve smyslu ustanovení čl. 13 a 14 GDPR, jakož i žádosti o přístup k osobním údajům je nutné plnit za současného zachování důvěrnosti ve smyslu zákona o ochraně oznamovatelů, jakož i ve smyslu tohoto předpisu.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VIII.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Přestupky oznamovatelů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Oznamovatel se dopustí přestupku tím, že podá vědomě nepravdivé informace.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Za přestupek dle odstavce 1. je možné oznamovateli ve smyslu ustanovení §23 zákona o ochraně oznamovatelů uložit pokutu do 50.000,- Kč.</w:t>
      </w:r>
    </w:p>
    <w:p>
      <w:pPr>
        <w:pStyle w:val="ListParagraph"/>
        <w:spacing w:lineRule="auto" w:line="276" w:before="0" w:after="0"/>
        <w:ind w:left="426" w:hanging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 xml:space="preserve"> </w:t>
      </w:r>
    </w:p>
    <w:p>
      <w:pPr>
        <w:pStyle w:val="ListParagraph"/>
        <w:spacing w:lineRule="auto" w:line="276" w:before="0" w:after="0"/>
        <w:ind w:left="426" w:hanging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IX.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Ochrana před odvetnými opatřeními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Odvetným opatřením se rozumí jednání nebo jeho opomenutí v souvislosti s prací nebo jinou obdobnou činností oznamovatele podle ustanovení § 2 odst. 3 a 4 zákona o ochraně oznamovatelů, které bylo vyvoláno učiněním oznámení a které oznamovateli nebo osobě podle odstavce 2. může způsobit újmu; při splnění těchto podmínek je odvetným opatřením zejména: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rozvázání pracovního poměru nebo neprodloužení pracovního poměru na dobu určitou,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zrušení právního vztahu založeného dohodou o pracovní činnosti nebo dohodou o provedení práce,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odvolání z místa vedoucího zaměstnance uložení kárného opatření nebo kázeňského trestu,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snížení mzdy nebo odměny,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nepřiznání osobního příplatku,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přeložení nebo převedení na jinou práci,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negativní služební hodnocení nebo pracovní posudek,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neumožnění odborného rozvoje,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změna pracovní doby,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vyžadování lékařského posudku nebo pracovně lékařské prohlídky,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výpověď, odstoupení od pracovní smlouvy nebo okamžité zrušení pracovního poměru,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zásah do práva na ochranu osobnosti.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426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Odvetnému opatření nesmí být vystaven oznamovatel ani: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osoba, která poskytla pomoc při zjišťování informací, které jsou obsahem oznámení, podání oznámení nebo posouzení jeho důvodnosti,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osoba, která je ve vztahu k oznamovateli osobou blízkou ve smyslu zákona č. 89/2012 Sb., občanský zákoník,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osoba, která je zaměstnancem nebo kolegou oznamovatele,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osoba oznamovatelem ovládaná,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právnická osoba, v níž má oznamovatel účast, osoba ji ovládající, jí ovládaná osoba nebo osoba, která je s touto právnickou osobou ovládaná stejnou ovládající osobou,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právnická osoba, jejíhož voleného orgánu je oznamovatel členem, osoba ovládající, ovládaná nebo osoba ovládající stejnou ovládající osobu,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osoba, pro kterou oznamovatel vykonává práci nebo jinou obdobnou činnost podle § 2 odst. 3 a 4 zákona o ochraně oznamovatelů, nebo</w:t>
      </w:r>
    </w:p>
    <w:p>
      <w:pPr>
        <w:pStyle w:val="ListParagraph"/>
        <w:numPr>
          <w:ilvl w:val="1"/>
          <w:numId w:val="8"/>
        </w:numPr>
        <w:spacing w:lineRule="auto" w:line="276" w:before="0" w:after="0"/>
        <w:ind w:left="709" w:hanging="360"/>
        <w:contextualSpacing/>
        <w:jc w:val="both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svěřenecký fond, jehož je oznamovatel nebo právnická osoba podle písmene e. nebo f. zakladatelem nebo obmýšleným nebo ve vztahu k němuž jsou oznamovatel nebo právnická osoba podle písmene e. nebo f. osobou, který podstatným způsobem zvýší majetek svěřeneckého fondu smlouvou nebo pořízením pro případ smrti.</w:t>
      </w:r>
    </w:p>
    <w:p>
      <w:pPr>
        <w:pStyle w:val="ListParagraph"/>
        <w:spacing w:lineRule="auto" w:line="276" w:before="0" w:after="0"/>
        <w:ind w:left="426" w:hanging="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X.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  <w:t>Účinnost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426" w:hanging="360"/>
        <w:contextualSpacing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</w:rPr>
        <w:t>Tento vnitřní předpis se vydává na dobu neurčitou a nabývá účinnosti dne 1.8.2023.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cs="Times New Roman"/>
          <w:b/>
          <w:b/>
        </w:rPr>
      </w:pPr>
      <w:r>
        <w:rPr/>
      </w:r>
    </w:p>
    <w:sectPr>
      <w:type w:val="nextPage"/>
      <w:pgSz w:w="11906" w:h="16838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cs-CZ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cs-CZ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bublinyChar" w:customStyle="1">
    <w:name w:val="Text bubliny Char"/>
    <w:basedOn w:val="DefaultParagraphFont"/>
    <w:link w:val="BalloonText"/>
    <w:uiPriority w:val="99"/>
    <w:semiHidden/>
    <w:qFormat/>
    <w:rsid w:val="00850705"/>
    <w:rPr>
      <w:rFonts w:ascii="Segoe UI" w:hAnsi="Segoe UI" w:cs="Segoe UI"/>
      <w:sz w:val="18"/>
      <w:szCs w:val="18"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lineRule="auto" w:line="276" w:before="0" w:after="140"/>
    </w:pPr>
    <w:rPr/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9d7ebd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xtbublinyChar"/>
    <w:uiPriority w:val="99"/>
    <w:semiHidden/>
    <w:unhideWhenUsed/>
    <w:qFormat/>
    <w:rsid w:val="0085070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Application>LibreOffice/7.4.5.1$Windows_X86_64 LibreOffice_project/9c0871452b3918c1019dde9bfac75448afc4b57f</Application>
  <AppVersion>15.0000</AppVersion>
  <Pages>5</Pages>
  <Words>1768</Words>
  <Characters>10354</Characters>
  <CharactersWithSpaces>11944</CharactersWithSpaces>
  <Paragraphs>108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2023-07-31T07:40:00Z</dcterms:created>
  <dc:creator>Advokátní kancelář</dc:creator>
  <dc:description/>
  <dc:language>cs-CZ</dc:language>
  <cp:lastModifiedBy/>
  <cp:lastPrinted>2023-07-28T08:36:00Z</cp:lastPrinted>
  <dcterms:modified xsi:type="dcterms:W3CDTF">2023-08-02T16:43:06Z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